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77" w:rsidRPr="003D416C" w:rsidRDefault="002E03BE" w:rsidP="002E03BE">
      <w:pPr>
        <w:jc w:val="center"/>
        <w:rPr>
          <w:rFonts w:asciiTheme="majorHAnsi" w:hAnsiTheme="majorHAnsi" w:cstheme="minorHAnsi"/>
          <w:b/>
          <w:sz w:val="44"/>
          <w:szCs w:val="44"/>
        </w:rPr>
      </w:pPr>
      <w:r w:rsidRPr="003D416C">
        <w:rPr>
          <w:rFonts w:asciiTheme="majorHAnsi" w:hAnsiTheme="majorHAnsi" w:cstheme="minorHAnsi"/>
          <w:b/>
          <w:sz w:val="44"/>
          <w:szCs w:val="44"/>
        </w:rPr>
        <w:t>Windykacja należności w praktyce</w:t>
      </w:r>
      <w:bookmarkStart w:id="0" w:name="_GoBack"/>
      <w:bookmarkEnd w:id="0"/>
    </w:p>
    <w:p w:rsidR="00474477" w:rsidRPr="005A591B" w:rsidRDefault="00474477" w:rsidP="002E03BE">
      <w:pPr>
        <w:jc w:val="center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20-21 listopada 2021 godz. 9.00-15.00 (szkolenie dwudniowe)</w:t>
      </w:r>
    </w:p>
    <w:p w:rsidR="00474477" w:rsidRPr="005A591B" w:rsidRDefault="00474477" w:rsidP="002E03BE">
      <w:pPr>
        <w:jc w:val="center"/>
        <w:rPr>
          <w:rFonts w:asciiTheme="majorHAnsi" w:hAnsiTheme="majorHAnsi" w:cstheme="minorHAnsi"/>
          <w:b/>
        </w:rPr>
      </w:pPr>
    </w:p>
    <w:p w:rsidR="00474477" w:rsidRPr="005A591B" w:rsidRDefault="002E03BE" w:rsidP="00474477">
      <w:pPr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Dzień pierwszy</w:t>
      </w:r>
    </w:p>
    <w:p w:rsidR="00474477" w:rsidRPr="005A591B" w:rsidRDefault="00474477" w:rsidP="00474477">
      <w:pPr>
        <w:rPr>
          <w:rFonts w:asciiTheme="majorHAnsi" w:hAnsiTheme="majorHAnsi" w:cstheme="minorHAnsi"/>
          <w:b/>
          <w:sz w:val="28"/>
          <w:szCs w:val="28"/>
        </w:rPr>
      </w:pPr>
      <w:r w:rsidRPr="005A591B">
        <w:rPr>
          <w:rFonts w:asciiTheme="majorHAnsi" w:hAnsiTheme="majorHAnsi" w:cstheme="minorHAnsi"/>
          <w:b/>
          <w:sz w:val="28"/>
          <w:szCs w:val="28"/>
        </w:rPr>
        <w:t>Windykacja w strukturach organizacyjnych firmy</w:t>
      </w:r>
    </w:p>
    <w:p w:rsidR="00474477" w:rsidRPr="005A591B" w:rsidRDefault="00474477" w:rsidP="006B6E4F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Moduł pierwszy to przekazanie wiedzy w zakresie organizacji procesu windykacji. Umiejscowienie komórki windykacji w firmie. Ustalenie schematu działań</w:t>
      </w:r>
      <w:r w:rsidR="00AE09CD" w:rsidRPr="005A591B">
        <w:rPr>
          <w:rFonts w:asciiTheme="majorHAnsi" w:hAnsiTheme="majorHAnsi" w:cstheme="minorHAnsi"/>
          <w:b/>
        </w:rPr>
        <w:t xml:space="preserve"> </w:t>
      </w:r>
      <w:r w:rsidRPr="005A591B">
        <w:rPr>
          <w:rFonts w:asciiTheme="majorHAnsi" w:hAnsiTheme="majorHAnsi" w:cstheme="minorHAnsi"/>
          <w:b/>
        </w:rPr>
        <w:t xml:space="preserve">i opracowanie dokumentów, które będą stopniowały kolejne sankcje. W kolejnym etapie poznacie Państwo metody pozyskiwania informacji o klientach i ich wykorzystania przy podejmowaniu decyzji o poziomie kredytu kupieckiego, zasadach jego regulowania </w:t>
      </w:r>
      <w:r w:rsidR="00D30635">
        <w:rPr>
          <w:rFonts w:asciiTheme="majorHAnsi" w:hAnsiTheme="majorHAnsi" w:cstheme="minorHAnsi"/>
          <w:b/>
        </w:rPr>
        <w:br/>
      </w:r>
      <w:r w:rsidRPr="005A591B">
        <w:rPr>
          <w:rFonts w:asciiTheme="majorHAnsi" w:hAnsiTheme="majorHAnsi" w:cstheme="minorHAnsi"/>
          <w:b/>
        </w:rPr>
        <w:t>i wykrywania potencjalnych nieuczciwych klientów. Poruszone zostaną także aspekty prawne związane z zagadnieniami windykacyjnymi i sposobem reprezentacji</w:t>
      </w:r>
      <w:r w:rsidR="008E1FFC" w:rsidRPr="005A591B">
        <w:rPr>
          <w:rFonts w:asciiTheme="majorHAnsi" w:hAnsiTheme="majorHAnsi" w:cstheme="minorHAnsi"/>
          <w:b/>
        </w:rPr>
        <w:t xml:space="preserve"> </w:t>
      </w:r>
      <w:r w:rsidRPr="005A591B">
        <w:rPr>
          <w:rFonts w:asciiTheme="majorHAnsi" w:hAnsiTheme="majorHAnsi" w:cstheme="minorHAnsi"/>
          <w:b/>
        </w:rPr>
        <w:t xml:space="preserve"> </w:t>
      </w:r>
      <w:r w:rsidR="00D30635">
        <w:rPr>
          <w:rFonts w:asciiTheme="majorHAnsi" w:hAnsiTheme="majorHAnsi" w:cstheme="minorHAnsi"/>
          <w:b/>
        </w:rPr>
        <w:br/>
      </w:r>
      <w:r w:rsidRPr="005A591B">
        <w:rPr>
          <w:rFonts w:asciiTheme="majorHAnsi" w:hAnsiTheme="majorHAnsi" w:cstheme="minorHAnsi"/>
          <w:b/>
        </w:rPr>
        <w:t>w poszczególnych podmiotach gospodarczych.</w:t>
      </w:r>
    </w:p>
    <w:p w:rsidR="00474477" w:rsidRPr="005A591B" w:rsidRDefault="00474477" w:rsidP="00FE7316">
      <w:pPr>
        <w:pStyle w:val="Nagwek1"/>
        <w:rPr>
          <w:color w:val="auto"/>
        </w:rPr>
      </w:pPr>
      <w:r w:rsidRPr="005A591B">
        <w:rPr>
          <w:color w:val="auto"/>
        </w:rPr>
        <w:t>Organizacja procesu windykacji</w:t>
      </w:r>
    </w:p>
    <w:p w:rsidR="00474477" w:rsidRPr="005A591B" w:rsidRDefault="00474477" w:rsidP="008E1FFC">
      <w:pPr>
        <w:pStyle w:val="Nagwek3"/>
        <w:jc w:val="both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Znaczenie windykacji dla kondycji firmy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Przeterminowanie i je</w:t>
      </w:r>
      <w:r w:rsidR="008E1FFC" w:rsidRPr="005A591B">
        <w:rPr>
          <w:color w:val="auto"/>
        </w:rPr>
        <w:t>go konsekwencje dla wierzyciela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Przedawnienie, jego terminy i kons</w:t>
      </w:r>
      <w:r w:rsidR="008E1FFC" w:rsidRPr="005A591B">
        <w:rPr>
          <w:color w:val="auto"/>
        </w:rPr>
        <w:t>ekwencje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 xml:space="preserve">Należność główna a świadczenie dodatkowe - kolejność </w:t>
      </w:r>
      <w:r w:rsidR="001C0244" w:rsidRPr="005A591B">
        <w:rPr>
          <w:color w:val="auto"/>
        </w:rPr>
        <w:tab/>
      </w:r>
      <w:r w:rsidRPr="005A591B">
        <w:rPr>
          <w:color w:val="auto"/>
        </w:rPr>
        <w:t>ksi</w:t>
      </w:r>
      <w:r w:rsidR="008E1FFC" w:rsidRPr="005A591B">
        <w:rPr>
          <w:color w:val="auto"/>
        </w:rPr>
        <w:t>ęgowań i spełnienie świadczenia</w:t>
      </w:r>
    </w:p>
    <w:p w:rsidR="00474477" w:rsidRPr="005A591B" w:rsidRDefault="00474477" w:rsidP="008E1FFC">
      <w:pPr>
        <w:pStyle w:val="Nagwek3"/>
        <w:jc w:val="both"/>
        <w:rPr>
          <w:color w:val="auto"/>
          <w:sz w:val="24"/>
          <w:szCs w:val="24"/>
        </w:rPr>
      </w:pPr>
      <w:r w:rsidRPr="005A591B">
        <w:rPr>
          <w:rStyle w:val="Nagwek2Znak"/>
          <w:b/>
          <w:bCs/>
          <w:color w:val="auto"/>
          <w:sz w:val="24"/>
          <w:szCs w:val="24"/>
        </w:rPr>
        <w:t>Organizacja działań windykacyjnych</w:t>
      </w:r>
    </w:p>
    <w:p w:rsidR="00474477" w:rsidRPr="005A591B" w:rsidRDefault="00474477" w:rsidP="008E1FFC">
      <w:pPr>
        <w:pStyle w:val="Nagwek4"/>
        <w:jc w:val="both"/>
        <w:rPr>
          <w:rStyle w:val="Nagwek2Znak"/>
          <w:rFonts w:eastAsiaTheme="minorHAnsi" w:cstheme="minorBidi"/>
          <w:color w:val="auto"/>
          <w:sz w:val="22"/>
          <w:szCs w:val="22"/>
        </w:rPr>
      </w:pPr>
      <w:r w:rsidRPr="005A591B">
        <w:rPr>
          <w:color w:val="auto"/>
        </w:rPr>
        <w:t xml:space="preserve">Miejsce windykacji w </w:t>
      </w:r>
      <w:r w:rsidR="008E1FFC" w:rsidRPr="005A591B">
        <w:rPr>
          <w:color w:val="auto"/>
        </w:rPr>
        <w:t>strukturze organizacyjnej firmy</w:t>
      </w:r>
    </w:p>
    <w:p w:rsidR="009D2E15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Schemat działań w</w:t>
      </w:r>
      <w:r w:rsidR="008E1FFC" w:rsidRPr="005A591B">
        <w:rPr>
          <w:color w:val="auto"/>
        </w:rPr>
        <w:t>indykacyjnych i jego znaczenie</w:t>
      </w:r>
    </w:p>
    <w:p w:rsidR="00474477" w:rsidRPr="005A591B" w:rsidRDefault="009D2E15" w:rsidP="008E1FFC">
      <w:pPr>
        <w:pStyle w:val="Nagwek3"/>
        <w:jc w:val="both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D</w:t>
      </w:r>
      <w:r w:rsidR="00474477" w:rsidRPr="005A591B">
        <w:rPr>
          <w:color w:val="auto"/>
          <w:sz w:val="24"/>
          <w:szCs w:val="24"/>
        </w:rPr>
        <w:t>okumenty i ich znaczenie w procesie windykacji</w:t>
      </w:r>
    </w:p>
    <w:p w:rsidR="00474477" w:rsidRPr="005A591B" w:rsidRDefault="008E1FFC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Faktury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Wezwania d</w:t>
      </w:r>
      <w:r w:rsidR="008E1FFC" w:rsidRPr="005A591B">
        <w:rPr>
          <w:color w:val="auto"/>
        </w:rPr>
        <w:t>o zapłaty stopniowanie w treści</w:t>
      </w:r>
    </w:p>
    <w:p w:rsidR="00474477" w:rsidRPr="005A591B" w:rsidRDefault="00474477" w:rsidP="008E1FFC">
      <w:pPr>
        <w:pStyle w:val="Nagwek4"/>
        <w:jc w:val="both"/>
      </w:pPr>
      <w:r w:rsidRPr="005A591B">
        <w:rPr>
          <w:color w:val="auto"/>
        </w:rPr>
        <w:t>Zasady dostarczania dokumentów</w:t>
      </w:r>
    </w:p>
    <w:p w:rsidR="00474477" w:rsidRPr="005A591B" w:rsidRDefault="00474477" w:rsidP="008E1FFC">
      <w:pPr>
        <w:jc w:val="both"/>
        <w:rPr>
          <w:rFonts w:asciiTheme="majorHAnsi" w:hAnsiTheme="majorHAnsi" w:cs="Tahoma"/>
        </w:rPr>
      </w:pPr>
    </w:p>
    <w:p w:rsidR="00474477" w:rsidRPr="005A591B" w:rsidRDefault="00474477" w:rsidP="008E1FFC">
      <w:pPr>
        <w:pStyle w:val="Nagwek3"/>
        <w:jc w:val="both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lastRenderedPageBreak/>
        <w:t xml:space="preserve">Profilaktyka działań windykacyjnych – </w:t>
      </w:r>
      <w:proofErr w:type="spellStart"/>
      <w:r w:rsidRPr="005A591B">
        <w:rPr>
          <w:color w:val="auto"/>
          <w:sz w:val="24"/>
          <w:szCs w:val="24"/>
        </w:rPr>
        <w:t>prewindykacja</w:t>
      </w:r>
      <w:proofErr w:type="spellEnd"/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 xml:space="preserve">Weryfikacja klientów, </w:t>
      </w:r>
      <w:r w:rsidR="008E1FFC" w:rsidRPr="005A591B">
        <w:rPr>
          <w:color w:val="auto"/>
        </w:rPr>
        <w:t>przyznawanie limitu kupieckiego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Zasady udzielani</w:t>
      </w:r>
      <w:r w:rsidR="008E1FFC" w:rsidRPr="005A591B">
        <w:rPr>
          <w:color w:val="auto"/>
        </w:rPr>
        <w:t>a i rodzaje kredytu kupieckiego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Ograniczenie, wstrzymanie lu</w:t>
      </w:r>
      <w:r w:rsidR="008E1FFC" w:rsidRPr="005A591B">
        <w:rPr>
          <w:color w:val="auto"/>
        </w:rPr>
        <w:t>b cofnięcie kredytu kupieckiego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Postanowienia win</w:t>
      </w:r>
      <w:r w:rsidR="008E1FFC" w:rsidRPr="005A591B">
        <w:rPr>
          <w:color w:val="auto"/>
        </w:rPr>
        <w:t>dykacyjne w umowach z klientami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 xml:space="preserve">Osoby właściwe do zawierania umów w poszczególnych </w:t>
      </w:r>
      <w:r w:rsidR="008E1FFC" w:rsidRPr="005A591B">
        <w:rPr>
          <w:color w:val="auto"/>
        </w:rPr>
        <w:tab/>
        <w:t>formach działalności</w:t>
      </w:r>
    </w:p>
    <w:p w:rsidR="00474477" w:rsidRPr="005A591B" w:rsidRDefault="00474477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Zaangażowanie innych d</w:t>
      </w:r>
      <w:r w:rsidR="008E1FFC" w:rsidRPr="005A591B">
        <w:rPr>
          <w:color w:val="auto"/>
        </w:rPr>
        <w:t>ziałów w ściągalność należności</w:t>
      </w:r>
    </w:p>
    <w:p w:rsidR="00474477" w:rsidRPr="005A591B" w:rsidRDefault="008E1FFC" w:rsidP="008E1FFC">
      <w:pPr>
        <w:pStyle w:val="Nagwek4"/>
        <w:jc w:val="both"/>
        <w:rPr>
          <w:color w:val="auto"/>
        </w:rPr>
      </w:pPr>
      <w:r w:rsidRPr="005A591B">
        <w:rPr>
          <w:color w:val="auto"/>
        </w:rPr>
        <w:t>Rola narzędzi informatycznych</w:t>
      </w:r>
    </w:p>
    <w:p w:rsidR="00474477" w:rsidRPr="005A591B" w:rsidRDefault="00FA42B4" w:rsidP="006377FF">
      <w:pPr>
        <w:pStyle w:val="Nagwek1"/>
        <w:rPr>
          <w:color w:val="auto"/>
        </w:rPr>
      </w:pPr>
      <w:r w:rsidRPr="005A591B">
        <w:rPr>
          <w:color w:val="auto"/>
        </w:rPr>
        <w:t>Windykacja telefoniczna</w:t>
      </w:r>
    </w:p>
    <w:p w:rsidR="00474477" w:rsidRPr="005A591B" w:rsidRDefault="00FA42B4" w:rsidP="007418F4">
      <w:pPr>
        <w:pStyle w:val="Nagwek3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Zasady prowadzenia rozmów telefonicznych z klientami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Rozmowa telefonicz</w:t>
      </w:r>
      <w:r w:rsidR="00FA42B4" w:rsidRPr="005A591B">
        <w:rPr>
          <w:color w:val="auto"/>
        </w:rPr>
        <w:t>na w działaniach windykacyjnych.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Struktura rozmów telefonicz</w:t>
      </w:r>
      <w:r w:rsidR="00FA42B4" w:rsidRPr="005A591B">
        <w:rPr>
          <w:color w:val="auto"/>
        </w:rPr>
        <w:t>nych z dłużnikami.</w:t>
      </w:r>
    </w:p>
    <w:p w:rsidR="00474477" w:rsidRPr="005A591B" w:rsidRDefault="00FA42B4" w:rsidP="007418F4">
      <w:pPr>
        <w:pStyle w:val="Nagwek4"/>
        <w:rPr>
          <w:color w:val="auto"/>
        </w:rPr>
      </w:pPr>
      <w:r w:rsidRPr="005A591B">
        <w:rPr>
          <w:color w:val="auto"/>
        </w:rPr>
        <w:t>Definiowanie osoby decyzyjnej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Archiwiz</w:t>
      </w:r>
      <w:r w:rsidR="00FA42B4" w:rsidRPr="005A591B">
        <w:rPr>
          <w:color w:val="auto"/>
        </w:rPr>
        <w:t>acja rozmów, przyjętych ustaleń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 xml:space="preserve">Dokumenty ponaglające </w:t>
      </w:r>
      <w:r w:rsidR="00FA42B4" w:rsidRPr="005A591B">
        <w:rPr>
          <w:color w:val="auto"/>
        </w:rPr>
        <w:t>jako skutek prowadzonych rozmów</w:t>
      </w:r>
    </w:p>
    <w:p w:rsidR="00474477" w:rsidRPr="005A591B" w:rsidRDefault="00474477" w:rsidP="008E1FFC">
      <w:pPr>
        <w:jc w:val="both"/>
        <w:rPr>
          <w:rFonts w:asciiTheme="majorHAnsi" w:hAnsiTheme="majorHAnsi" w:cs="Tahoma"/>
          <w:b/>
        </w:rPr>
      </w:pPr>
    </w:p>
    <w:p w:rsidR="00474477" w:rsidRPr="005A591B" w:rsidRDefault="00474477" w:rsidP="007418F4">
      <w:pPr>
        <w:pStyle w:val="Nagwek3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Przygotowanie i analiza rozmowy telefonicznej.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Gromadzenie informacji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Ustalenie celów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Analiza odbytej rozmowy</w:t>
      </w:r>
    </w:p>
    <w:p w:rsidR="00474477" w:rsidRPr="005A591B" w:rsidRDefault="00474477" w:rsidP="008E1FFC">
      <w:pPr>
        <w:jc w:val="both"/>
        <w:rPr>
          <w:rFonts w:asciiTheme="majorHAnsi" w:hAnsiTheme="majorHAnsi" w:cs="Tahoma"/>
        </w:rPr>
      </w:pPr>
    </w:p>
    <w:p w:rsidR="00474477" w:rsidRPr="005A591B" w:rsidRDefault="00474477" w:rsidP="007418F4">
      <w:pPr>
        <w:pStyle w:val="Nagwek3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Rodzaje rozmów windykacyjnych.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Pierwszy kontakt z dłużnikiem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Drugi kontakt - negocjacje</w:t>
      </w:r>
    </w:p>
    <w:p w:rsidR="00474477" w:rsidRPr="005A591B" w:rsidRDefault="00474477" w:rsidP="007418F4">
      <w:pPr>
        <w:pStyle w:val="Nagwek4"/>
        <w:rPr>
          <w:color w:val="auto"/>
        </w:rPr>
      </w:pPr>
      <w:r w:rsidRPr="005A591B">
        <w:rPr>
          <w:color w:val="auto"/>
        </w:rPr>
        <w:t>Zapowiedź sankcji</w:t>
      </w:r>
    </w:p>
    <w:p w:rsidR="00474477" w:rsidRPr="005A591B" w:rsidRDefault="00474477" w:rsidP="008E1FFC">
      <w:pPr>
        <w:jc w:val="both"/>
        <w:rPr>
          <w:rFonts w:asciiTheme="majorHAnsi" w:hAnsiTheme="majorHAnsi" w:cs="Tahoma"/>
        </w:rPr>
      </w:pPr>
    </w:p>
    <w:p w:rsidR="00474477" w:rsidRPr="005A591B" w:rsidRDefault="00474477" w:rsidP="00DE7D47">
      <w:pPr>
        <w:pStyle w:val="Nagwek3"/>
        <w:rPr>
          <w:sz w:val="24"/>
          <w:szCs w:val="24"/>
        </w:rPr>
      </w:pPr>
      <w:r w:rsidRPr="005A591B">
        <w:rPr>
          <w:color w:val="auto"/>
          <w:sz w:val="24"/>
          <w:szCs w:val="24"/>
        </w:rPr>
        <w:lastRenderedPageBreak/>
        <w:t>Pułapki psychologiczne w prowadzonych rozmowach</w:t>
      </w:r>
    </w:p>
    <w:p w:rsidR="00474477" w:rsidRPr="005A591B" w:rsidRDefault="00474477" w:rsidP="00DE7D47">
      <w:pPr>
        <w:pStyle w:val="Nagwek4"/>
        <w:rPr>
          <w:color w:val="auto"/>
        </w:rPr>
      </w:pPr>
      <w:r w:rsidRPr="005A591B">
        <w:rPr>
          <w:color w:val="auto"/>
        </w:rPr>
        <w:t>Uległość i jej konsekwencje</w:t>
      </w:r>
    </w:p>
    <w:p w:rsidR="00474477" w:rsidRPr="005A591B" w:rsidRDefault="00474477" w:rsidP="00DE7D47">
      <w:pPr>
        <w:pStyle w:val="Nagwek4"/>
        <w:rPr>
          <w:color w:val="auto"/>
        </w:rPr>
      </w:pPr>
      <w:r w:rsidRPr="005A591B">
        <w:rPr>
          <w:color w:val="auto"/>
        </w:rPr>
        <w:t>Złość i jej konsekwencje</w:t>
      </w:r>
    </w:p>
    <w:p w:rsidR="00474477" w:rsidRPr="005A591B" w:rsidRDefault="00474477" w:rsidP="008E1FFC">
      <w:pPr>
        <w:jc w:val="both"/>
        <w:rPr>
          <w:rFonts w:asciiTheme="majorHAnsi" w:hAnsiTheme="majorHAnsi" w:cs="Tahoma"/>
        </w:rPr>
      </w:pPr>
    </w:p>
    <w:p w:rsidR="00474477" w:rsidRPr="005A591B" w:rsidRDefault="00474477" w:rsidP="00DE7D47">
      <w:pPr>
        <w:pStyle w:val="Nagwek3"/>
        <w:rPr>
          <w:color w:val="auto"/>
          <w:sz w:val="24"/>
          <w:szCs w:val="24"/>
        </w:rPr>
      </w:pPr>
      <w:r w:rsidRPr="005A591B">
        <w:rPr>
          <w:color w:val="auto"/>
          <w:sz w:val="24"/>
          <w:szCs w:val="24"/>
        </w:rPr>
        <w:t>Asertywna windykacja</w:t>
      </w:r>
    </w:p>
    <w:p w:rsidR="00474477" w:rsidRPr="005A591B" w:rsidRDefault="00474477" w:rsidP="00DE7D47">
      <w:pPr>
        <w:pStyle w:val="Nagwek4"/>
        <w:rPr>
          <w:color w:val="auto"/>
        </w:rPr>
      </w:pPr>
      <w:r w:rsidRPr="005A591B">
        <w:rPr>
          <w:color w:val="auto"/>
        </w:rPr>
        <w:t>Kontrola emocji swoich i rozmówcy;</w:t>
      </w:r>
    </w:p>
    <w:p w:rsidR="00474477" w:rsidRPr="005A591B" w:rsidRDefault="00474477" w:rsidP="00DE7D47">
      <w:pPr>
        <w:pStyle w:val="Nagwek4"/>
        <w:rPr>
          <w:color w:val="auto"/>
        </w:rPr>
      </w:pPr>
      <w:r w:rsidRPr="005A591B">
        <w:rPr>
          <w:color w:val="auto"/>
        </w:rPr>
        <w:t>Opanowanie sytuacji stresowej</w:t>
      </w:r>
    </w:p>
    <w:p w:rsidR="00474477" w:rsidRPr="005A591B" w:rsidRDefault="006B6E4F" w:rsidP="006B6E4F">
      <w:pPr>
        <w:pStyle w:val="Nagwek4"/>
        <w:rPr>
          <w:color w:val="auto"/>
        </w:rPr>
      </w:pPr>
      <w:r w:rsidRPr="005A591B">
        <w:rPr>
          <w:color w:val="auto"/>
        </w:rPr>
        <w:t>Reagowanie na wymówki dłużnika</w:t>
      </w:r>
    </w:p>
    <w:p w:rsidR="00474477" w:rsidRPr="005A591B" w:rsidRDefault="00474477" w:rsidP="008E1FFC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Prowadzący:</w:t>
      </w:r>
    </w:p>
    <w:p w:rsidR="00474477" w:rsidRPr="005A591B" w:rsidRDefault="00474477" w:rsidP="008E1FFC">
      <w:pPr>
        <w:jc w:val="both"/>
        <w:rPr>
          <w:rFonts w:asciiTheme="majorHAnsi" w:hAnsiTheme="majorHAnsi" w:cstheme="minorHAnsi"/>
          <w:b/>
          <w:i/>
        </w:rPr>
      </w:pPr>
      <w:r w:rsidRPr="005A591B">
        <w:rPr>
          <w:rFonts w:asciiTheme="majorHAnsi" w:hAnsiTheme="majorHAnsi" w:cstheme="minorHAnsi"/>
          <w:b/>
          <w:i/>
        </w:rPr>
        <w:t xml:space="preserve">Mariusz </w:t>
      </w:r>
      <w:proofErr w:type="spellStart"/>
      <w:r w:rsidRPr="005A591B">
        <w:rPr>
          <w:rFonts w:asciiTheme="majorHAnsi" w:hAnsiTheme="majorHAnsi" w:cstheme="minorHAnsi"/>
          <w:b/>
          <w:i/>
        </w:rPr>
        <w:t>Tywoniuk</w:t>
      </w:r>
      <w:proofErr w:type="spellEnd"/>
    </w:p>
    <w:p w:rsidR="00307CBC" w:rsidRPr="005A591B" w:rsidRDefault="001725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Prezes Zarządu Fundacji IUSTUS, Wspólnik Kancelarii Prawnej TYWONIUK &amp; LEWANDOWSKI – prawnik, specjalista z zakresu prawa obrotu gospodarczego, w szczególności przekształcenia podmiotów prawa handlowego, procesów naprawczych, restrukturyzacyjnych oraz przygotowania i sprzedaży spółek handlowych a także windykacji należności. W 2015 roku wyróżniony przez Bank Światowy dyplomem uznania od za wkład w rozwój przedsiębiorczości, a w roku 2018 Polsko Ukraińską Buławą Gospodarczą  za szczególny wkład w rozwój polsko – ukraińskiej współpracy gospodarczej . Realizował projekty  wdrożeniowe w zakresie budowania i reorganizacji działów windykacji dużych spółek kapitałowych, audytów związanych z: bezpieczeństwem należności,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proceduralizacją</w:t>
      </w:r>
      <w:proofErr w:type="spellEnd"/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działań windykacyjnych, realizacją procesów naprawczych,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przekształceniowych</w:t>
      </w:r>
      <w:proofErr w:type="spellEnd"/>
      <w:r w:rsidR="00364BE7"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</w:t>
      </w:r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i restrukturyzacyjnych, oraz szeroko pojętego doradztwa prawno-ekonomicznego. Jako doktorant Wydziału Prawa Uniwersytetu SWPS prowadzi badania naukowe nad zagadnieniami prawa obrotu gospodarczego. Absolwent Wydziału Prawa Uniwersytetu SWPS w Warszawie gdzie ukończył studia jednolite, kierunek – Prawo. Ukończył studia podyplomowe – Prawo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gospodarczena</w:t>
      </w:r>
      <w:proofErr w:type="spellEnd"/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Katedrze Prawa Cywilnego i Gospodarczego wydziału Finansów Uniwersytetu Ekonomicznego w Krakowie. Uzyskał tytuł magistra zarządzania realizując specjalność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Rachunkowośćw</w:t>
      </w:r>
      <w:proofErr w:type="spellEnd"/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Zarządzaniu finansami Przedsiębiorstw na Wydziale Zarządzania Politechniki Rzeszowskiej, oraz tytuł licencjata Europeistyki na Wydziale Administracji Wyższej Szkoły Informatyki i Zarządzania</w:t>
      </w:r>
      <w:r w:rsidR="00364BE7"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</w:t>
      </w:r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w Rzeszowie. Ukończył studia pierwszego stopnia Współczesne Stosunki Międzynarodowe na Wydziale Nauk Politycznych Wyższej Szkoły Humanistycznej w Pułtusku. Od 1998 roku zajmuje się doradztwem w obszarze prawa obrotu gospodarczego, realizując przekształcenia podmiotów prawa handlowego, procesów naprawczych, restrukturyzacyjnych oraz przygotowania i sprzedaży spółek handlowych. Wykładowca przedmiotów z zakresu prawa gospodarczego. Prokurent grupy kapitałowej Optimum Consulting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Group</w:t>
      </w:r>
      <w:proofErr w:type="spellEnd"/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Sp. z o.o. Dodatkowo od 2012 zajmuje się problematyką prawną szeroko rozumianej ekonomii społecznej. Pełni funkcje doradcze na rzecz podmiotów ekonomii społecznej jest doradcą OWES i Lustratorem spółdzielni. Od 2014 roku wiceprzewodniczący Rady Nadzorczej Ogólnopolskiego Związku Rewizyjnego Spółdzielni Socjalnych w Warszawie. Autor szeregu prawniczych publikacji w obszarze prawa obrotu gospodarczego, spółek kapitałowych oraz spółdzielni socjalnych. Uczestnik i prelegent wielu konferencji naukowych krajowych i międzynarodowych.</w:t>
      </w: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364BE7" w:rsidRPr="005A591B" w:rsidRDefault="00364B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</w:p>
    <w:p w:rsidR="00755B0E" w:rsidRPr="005A591B" w:rsidRDefault="00755B0E" w:rsidP="00755B0E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Dzień drugi.</w:t>
      </w:r>
    </w:p>
    <w:p w:rsidR="00755B0E" w:rsidRPr="005A591B" w:rsidRDefault="00755B0E" w:rsidP="00755B0E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 xml:space="preserve">Postępowanie sądowe i egzekucyjne w świetle aktualnych przepisów. </w:t>
      </w:r>
    </w:p>
    <w:p w:rsidR="00755B0E" w:rsidRPr="005A591B" w:rsidRDefault="00755B0E" w:rsidP="00755B0E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Szkolenie  prowadzone przez naszych ekspertów - prawników i praktyków działań windykacyjnych. Ten moduł ma na celu wskazanie prawidłowej wykładni oraz stosowania przepisów obowiązującego prawa, w odniesieniu do problematyki windykacji należności w obrocie gospodarczym. Każdy z punktów szkolenia rozpoczyna się wykładem, w którym prezentowana jest artykulacja prawna i orzecznictwo w zakresie danej problematyki poparte przykładami z naszej praktyki.</w:t>
      </w:r>
    </w:p>
    <w:p w:rsidR="00474477" w:rsidRPr="005A591B" w:rsidRDefault="00755B0E" w:rsidP="00755B0E">
      <w:pPr>
        <w:numPr>
          <w:ilvl w:val="0"/>
          <w:numId w:val="32"/>
        </w:numPr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5A591B">
        <w:rPr>
          <w:rFonts w:asciiTheme="majorHAnsi" w:hAnsiTheme="majorHAnsi" w:cstheme="minorHAnsi"/>
          <w:b/>
          <w:bCs/>
          <w:sz w:val="28"/>
          <w:szCs w:val="28"/>
        </w:rPr>
        <w:t xml:space="preserve">Prawne aspekty działań windykacyjnych 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Działania przedsądowe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 xml:space="preserve">Uznanie długu i jego znaczenie, także w kontekście roszczeń 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 xml:space="preserve">już </w:t>
      </w:r>
      <w:r w:rsidR="00B71A09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>przedawnionych- uznanie właściwe i niewłaściwe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Notarialny tytuł egzekucyjny- art. 777  k.p.c.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Dochodzenie wierzytelności z weksla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Zawiadomienie o możliwości popełnienia przestępstwa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Ocena możliwości sądowego dochodzenia wierzytelności</w:t>
      </w:r>
    </w:p>
    <w:p w:rsidR="00755B0E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 xml:space="preserve">Wezwanie do zapłaty i jego znaczenie w postępowaniu 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>sądowym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Mediacja jako alternatywa dla postępowania sądowego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Postępowanie sądowe i jego rodzaje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Postępowanie zwykłe a uproszczone- różnice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Nakaz zapłaty w postępowaniu nakazowym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Nakaz zapłaty w postępowaniu upominawczym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Nakaz zapłaty w postępowaniu elektronicznym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Doręczenie nakazu zapłaty po nowelizacji przepisów k.p.c.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Uzyskanie nakazu zapłaty, a faktyczne odzyskanie należności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 xml:space="preserve">Dochodzenie roszczeń od członków zarządu sp. z o.o. – art. 299 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ab/>
      </w:r>
      <w:proofErr w:type="spellStart"/>
      <w:r w:rsidRPr="005A591B">
        <w:rPr>
          <w:rFonts w:asciiTheme="majorHAnsi" w:hAnsiTheme="majorHAnsi" w:cstheme="minorHAnsi"/>
          <w:b/>
          <w:bCs/>
          <w:i/>
          <w:iCs/>
        </w:rPr>
        <w:t>k.s.h</w:t>
      </w:r>
      <w:proofErr w:type="spellEnd"/>
      <w:r w:rsidRPr="005A591B">
        <w:rPr>
          <w:rFonts w:asciiTheme="majorHAnsi" w:hAnsiTheme="majorHAnsi" w:cstheme="minorHAnsi"/>
          <w:b/>
          <w:bCs/>
          <w:i/>
          <w:iCs/>
        </w:rPr>
        <w:t>.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Postępowanie egzekucyjne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lastRenderedPageBreak/>
        <w:t xml:space="preserve">Uzyskanie orzeczenia w sprawie a właściwe wszczęcie 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 xml:space="preserve">egzekucji- </w:t>
      </w:r>
      <w:r w:rsidR="00B71A09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 xml:space="preserve">przesłanki tj. prawomocność orzeczenia/rygor natychmiastowej </w:t>
      </w:r>
      <w:r w:rsidR="00B71A09" w:rsidRPr="005A591B">
        <w:rPr>
          <w:rFonts w:asciiTheme="majorHAnsi" w:hAnsiTheme="majorHAnsi" w:cstheme="minorHAnsi"/>
          <w:b/>
          <w:bCs/>
          <w:i/>
          <w:iCs/>
        </w:rPr>
        <w:tab/>
        <w:t>w</w:t>
      </w:r>
      <w:r w:rsidRPr="005A591B">
        <w:rPr>
          <w:rFonts w:asciiTheme="majorHAnsi" w:hAnsiTheme="majorHAnsi" w:cstheme="minorHAnsi"/>
          <w:b/>
          <w:bCs/>
          <w:i/>
          <w:iCs/>
        </w:rPr>
        <w:t>ykonalności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 xml:space="preserve">Postępowanie zabezpieczające w egzekucji 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Właściwość komornicza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 xml:space="preserve">Współpraca wierzyciela z komornikiem przy czynnościach 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ab/>
      </w:r>
      <w:r w:rsidRPr="005A591B">
        <w:rPr>
          <w:rFonts w:asciiTheme="majorHAnsi" w:hAnsiTheme="majorHAnsi" w:cstheme="minorHAnsi"/>
          <w:b/>
          <w:bCs/>
          <w:i/>
          <w:iCs/>
        </w:rPr>
        <w:t>egzekucyjnych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Egzekucja z ruchomości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Egzekucja z nieruchomości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Powództwo przeciw egzekucyjne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Skarga na czynności komornika</w:t>
      </w:r>
    </w:p>
    <w:p w:rsidR="00755B0E" w:rsidRPr="005A591B" w:rsidRDefault="00755B0E" w:rsidP="00755B0E">
      <w:pPr>
        <w:jc w:val="both"/>
        <w:rPr>
          <w:rFonts w:asciiTheme="majorHAnsi" w:hAnsiTheme="majorHAnsi" w:cstheme="minorHAnsi"/>
        </w:rPr>
      </w:pP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Przelew wierzytelności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Charakter prawny – ograniczenia ustawowe i umowne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Umowa faktoringu – pozycja faktora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Sytuacja prawna stron w działaniach windykacyjnych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wierzyciel- cesja wierzytelności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dłużnik główny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poręczyciel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małżonek dłużnika głównego</w:t>
      </w:r>
    </w:p>
    <w:p w:rsidR="00474477" w:rsidRPr="005A591B" w:rsidRDefault="00755B0E" w:rsidP="00755B0E">
      <w:pPr>
        <w:numPr>
          <w:ilvl w:val="2"/>
          <w:numId w:val="25"/>
        </w:numPr>
        <w:tabs>
          <w:tab w:val="num" w:pos="36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Przedawnienie</w:t>
      </w:r>
      <w:r w:rsidR="00474477" w:rsidRPr="005A591B">
        <w:rPr>
          <w:rFonts w:asciiTheme="majorHAnsi" w:hAnsiTheme="majorHAnsi" w:cstheme="minorHAnsi"/>
          <w:b/>
          <w:bCs/>
          <w:sz w:val="24"/>
          <w:szCs w:val="24"/>
        </w:rPr>
        <w:t xml:space="preserve"> roszczeń majątkowych </w:t>
      </w:r>
      <w:r w:rsidRPr="005A591B">
        <w:rPr>
          <w:rFonts w:asciiTheme="majorHAnsi" w:hAnsiTheme="majorHAnsi" w:cstheme="minorHAnsi"/>
          <w:b/>
          <w:bCs/>
          <w:sz w:val="24"/>
          <w:szCs w:val="24"/>
        </w:rPr>
        <w:br/>
      </w:r>
      <w:r w:rsidRPr="005A591B">
        <w:rPr>
          <w:rFonts w:asciiTheme="majorHAnsi" w:hAnsiTheme="majorHAnsi" w:cstheme="minorHAnsi"/>
          <w:b/>
          <w:bCs/>
          <w:sz w:val="24"/>
          <w:szCs w:val="24"/>
        </w:rPr>
        <w:tab/>
      </w:r>
      <w:r w:rsidR="00474477" w:rsidRPr="005A591B">
        <w:rPr>
          <w:rFonts w:asciiTheme="majorHAnsi" w:hAnsiTheme="majorHAnsi" w:cstheme="minorHAnsi"/>
          <w:b/>
          <w:bCs/>
          <w:sz w:val="24"/>
          <w:szCs w:val="24"/>
        </w:rPr>
        <w:t>w obrocie</w:t>
      </w:r>
      <w:r w:rsidRPr="005A591B">
        <w:rPr>
          <w:rFonts w:asciiTheme="majorHAnsi" w:hAnsiTheme="majorHAnsi" w:cstheme="minorHAnsi"/>
          <w:b/>
          <w:bCs/>
          <w:sz w:val="24"/>
          <w:szCs w:val="24"/>
        </w:rPr>
        <w:t xml:space="preserve"> g</w:t>
      </w:r>
      <w:r w:rsidR="00474477" w:rsidRPr="005A591B">
        <w:rPr>
          <w:rFonts w:asciiTheme="majorHAnsi" w:hAnsiTheme="majorHAnsi" w:cstheme="minorHAnsi"/>
          <w:b/>
          <w:bCs/>
          <w:sz w:val="24"/>
          <w:szCs w:val="24"/>
        </w:rPr>
        <w:t>ospodarczym</w:t>
      </w:r>
    </w:p>
    <w:p w:rsidR="00474477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Wpływ przedawnienia na ściągalność należności</w:t>
      </w:r>
    </w:p>
    <w:p w:rsidR="00755B0E" w:rsidRPr="005A591B" w:rsidRDefault="00474477" w:rsidP="00755B0E">
      <w:pPr>
        <w:numPr>
          <w:ilvl w:val="3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i/>
          <w:iCs/>
        </w:rPr>
      </w:pPr>
      <w:r w:rsidRPr="005A591B">
        <w:rPr>
          <w:rFonts w:asciiTheme="majorHAnsi" w:hAnsiTheme="majorHAnsi" w:cstheme="minorHAnsi"/>
          <w:b/>
          <w:bCs/>
          <w:i/>
          <w:iCs/>
        </w:rPr>
        <w:t>Terminy pr</w:t>
      </w:r>
      <w:r w:rsidR="00755B0E" w:rsidRPr="005A591B">
        <w:rPr>
          <w:rFonts w:asciiTheme="majorHAnsi" w:hAnsiTheme="majorHAnsi" w:cstheme="minorHAnsi"/>
          <w:b/>
          <w:bCs/>
          <w:i/>
          <w:iCs/>
        </w:rPr>
        <w:t>zedawnienia i jego konsekwencje</w:t>
      </w:r>
    </w:p>
    <w:p w:rsidR="00474477" w:rsidRPr="005A591B" w:rsidRDefault="00474477" w:rsidP="00755B0E">
      <w:pPr>
        <w:numPr>
          <w:ilvl w:val="2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A591B">
        <w:rPr>
          <w:rFonts w:asciiTheme="majorHAnsi" w:hAnsiTheme="majorHAnsi" w:cstheme="minorHAnsi"/>
          <w:b/>
          <w:bCs/>
          <w:sz w:val="24"/>
          <w:szCs w:val="24"/>
        </w:rPr>
        <w:t>Charakter prawny skargi paulińskiej,</w:t>
      </w:r>
      <w:r w:rsidR="00755B0E" w:rsidRPr="005A591B">
        <w:rPr>
          <w:rFonts w:asciiTheme="majorHAnsi" w:hAnsiTheme="majorHAnsi" w:cstheme="minorHAnsi"/>
          <w:b/>
          <w:bCs/>
          <w:sz w:val="24"/>
          <w:szCs w:val="24"/>
        </w:rPr>
        <w:t xml:space="preserve"> jej ocena z punktu </w:t>
      </w:r>
      <w:r w:rsidR="00755B0E" w:rsidRPr="005A591B">
        <w:rPr>
          <w:rFonts w:asciiTheme="majorHAnsi" w:hAnsiTheme="majorHAnsi" w:cstheme="minorHAnsi"/>
          <w:b/>
          <w:bCs/>
          <w:sz w:val="24"/>
          <w:szCs w:val="24"/>
        </w:rPr>
        <w:tab/>
        <w:t xml:space="preserve">widzenia </w:t>
      </w:r>
      <w:r w:rsidRPr="005A591B">
        <w:rPr>
          <w:rFonts w:asciiTheme="majorHAnsi" w:hAnsiTheme="majorHAnsi" w:cstheme="minorHAnsi"/>
          <w:b/>
          <w:bCs/>
          <w:sz w:val="24"/>
          <w:szCs w:val="24"/>
        </w:rPr>
        <w:t xml:space="preserve"> interesów wierzyciela</w:t>
      </w:r>
    </w:p>
    <w:p w:rsidR="00474477" w:rsidRPr="005A591B" w:rsidRDefault="00755B0E" w:rsidP="00755B0E">
      <w:pPr>
        <w:numPr>
          <w:ilvl w:val="0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5A591B">
        <w:rPr>
          <w:rFonts w:asciiTheme="majorHAnsi" w:hAnsiTheme="majorHAnsi" w:cstheme="minorHAnsi"/>
          <w:b/>
          <w:bCs/>
          <w:sz w:val="28"/>
          <w:szCs w:val="28"/>
        </w:rPr>
        <w:tab/>
        <w:t>Niewypłacalność dłużnika  - upadłość konsumencka</w:t>
      </w:r>
      <w:r w:rsidR="00474477" w:rsidRPr="005A591B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</w:p>
    <w:p w:rsidR="00755B0E" w:rsidRPr="005A591B" w:rsidRDefault="00755B0E" w:rsidP="00755B0E">
      <w:pPr>
        <w:numPr>
          <w:ilvl w:val="0"/>
          <w:numId w:val="25"/>
        </w:numPr>
        <w:tabs>
          <w:tab w:val="num" w:pos="360"/>
        </w:tabs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5A591B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Pr="005A591B">
        <w:rPr>
          <w:rFonts w:asciiTheme="majorHAnsi" w:hAnsiTheme="majorHAnsi" w:cstheme="minorHAnsi"/>
          <w:b/>
          <w:bCs/>
          <w:sz w:val="28"/>
          <w:szCs w:val="28"/>
        </w:rPr>
        <w:tab/>
        <w:t xml:space="preserve">Problematyka prawna stalkingu ( uporczywe nękanie) w odniesieniu do działań </w:t>
      </w:r>
      <w:r w:rsidR="002218D7" w:rsidRPr="005A591B">
        <w:rPr>
          <w:rFonts w:asciiTheme="majorHAnsi" w:hAnsiTheme="majorHAnsi" w:cstheme="minorHAnsi"/>
          <w:b/>
          <w:bCs/>
          <w:sz w:val="28"/>
          <w:szCs w:val="28"/>
        </w:rPr>
        <w:t>windykacyjnych</w:t>
      </w:r>
      <w:r w:rsidRPr="005A591B">
        <w:rPr>
          <w:rFonts w:asciiTheme="majorHAnsi" w:hAnsiTheme="majorHAnsi" w:cstheme="minorHAnsi"/>
          <w:b/>
          <w:bCs/>
          <w:sz w:val="28"/>
          <w:szCs w:val="28"/>
        </w:rPr>
        <w:t xml:space="preserve">. </w:t>
      </w:r>
    </w:p>
    <w:p w:rsidR="00755B0E" w:rsidRPr="005A591B" w:rsidRDefault="00755B0E" w:rsidP="00755B0E">
      <w:pPr>
        <w:jc w:val="both"/>
        <w:rPr>
          <w:rFonts w:asciiTheme="majorHAnsi" w:hAnsiTheme="majorHAnsi" w:cstheme="minorHAnsi"/>
        </w:rPr>
      </w:pPr>
    </w:p>
    <w:p w:rsidR="00755B0E" w:rsidRPr="005A591B" w:rsidRDefault="00755B0E" w:rsidP="00755B0E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lastRenderedPageBreak/>
        <w:t>Prowadzący:</w:t>
      </w:r>
    </w:p>
    <w:p w:rsidR="00755B0E" w:rsidRPr="005A591B" w:rsidRDefault="008C5696" w:rsidP="00755B0E">
      <w:pPr>
        <w:jc w:val="both"/>
        <w:rPr>
          <w:rFonts w:asciiTheme="majorHAnsi" w:hAnsiTheme="majorHAnsi" w:cstheme="minorHAnsi"/>
          <w:b/>
        </w:rPr>
      </w:pPr>
      <w:r w:rsidRPr="005A591B">
        <w:rPr>
          <w:rFonts w:asciiTheme="majorHAnsi" w:hAnsiTheme="majorHAnsi" w:cstheme="minorHAnsi"/>
          <w:b/>
        </w:rPr>
        <w:t>Bartłomiej Rychter</w:t>
      </w:r>
      <w:r w:rsidR="00755B0E" w:rsidRPr="005A591B">
        <w:rPr>
          <w:rFonts w:asciiTheme="majorHAnsi" w:hAnsiTheme="majorHAnsi" w:cstheme="minorHAnsi"/>
          <w:b/>
        </w:rPr>
        <w:t xml:space="preserve"> </w:t>
      </w:r>
    </w:p>
    <w:p w:rsidR="00755B0E" w:rsidRPr="005A591B" w:rsidRDefault="001725E7" w:rsidP="00A90F42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Radca prawny. Posiada wieloletnie doświadczenie w obsłudze podmiotów gospodarczych oraz wdrożeniach procedur </w:t>
      </w:r>
      <w:proofErr w:type="spellStart"/>
      <w:r w:rsidRPr="005A591B">
        <w:rPr>
          <w:rFonts w:asciiTheme="majorHAnsi" w:hAnsiTheme="majorHAnsi" w:cstheme="minorHAnsi"/>
          <w:b/>
          <w:i/>
          <w:sz w:val="16"/>
          <w:szCs w:val="16"/>
        </w:rPr>
        <w:t>Compliance</w:t>
      </w:r>
      <w:proofErr w:type="spellEnd"/>
      <w:r w:rsidRPr="005A591B">
        <w:rPr>
          <w:rFonts w:asciiTheme="majorHAnsi" w:hAnsiTheme="majorHAnsi" w:cstheme="minorHAnsi"/>
          <w:b/>
          <w:i/>
          <w:sz w:val="16"/>
          <w:szCs w:val="16"/>
        </w:rPr>
        <w:t xml:space="preserve"> / RODO.  Absolwent studiów podyplomowych Controlling i finanse przedsiębiorstw oraz Zarządzanie projektami finansowanymi przez UE.</w:t>
      </w:r>
    </w:p>
    <w:sectPr w:rsidR="00755B0E" w:rsidRPr="005A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A9"/>
    <w:multiLevelType w:val="hybridMultilevel"/>
    <w:tmpl w:val="9804466E"/>
    <w:lvl w:ilvl="0" w:tplc="16262D1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E35"/>
    <w:multiLevelType w:val="multilevel"/>
    <w:tmpl w:val="938A91F2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8EE32E7"/>
    <w:multiLevelType w:val="hybridMultilevel"/>
    <w:tmpl w:val="C4BCD2F4"/>
    <w:lvl w:ilvl="0" w:tplc="B5D2A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C28CEC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7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983C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B772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6D0B36"/>
    <w:multiLevelType w:val="multilevel"/>
    <w:tmpl w:val="C8FE4F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C871D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BC5FB9"/>
    <w:multiLevelType w:val="hybridMultilevel"/>
    <w:tmpl w:val="0F9E9504"/>
    <w:lvl w:ilvl="0" w:tplc="BDF290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197"/>
    <w:multiLevelType w:val="multilevel"/>
    <w:tmpl w:val="E21E305C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EF6DE7"/>
    <w:multiLevelType w:val="hybridMultilevel"/>
    <w:tmpl w:val="E8F6B010"/>
    <w:lvl w:ilvl="0" w:tplc="CEBCA30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68E6"/>
    <w:multiLevelType w:val="hybridMultilevel"/>
    <w:tmpl w:val="263AE284"/>
    <w:lvl w:ilvl="0" w:tplc="FDBEE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8D4228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F53"/>
    <w:multiLevelType w:val="hybridMultilevel"/>
    <w:tmpl w:val="5FA236E6"/>
    <w:lvl w:ilvl="0" w:tplc="789A12D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8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E1163C"/>
    <w:multiLevelType w:val="hybridMultilevel"/>
    <w:tmpl w:val="9A4E348C"/>
    <w:lvl w:ilvl="0" w:tplc="A642ADE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0943"/>
    <w:multiLevelType w:val="multilevel"/>
    <w:tmpl w:val="625CFD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587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4C5194"/>
    <w:multiLevelType w:val="multilevel"/>
    <w:tmpl w:val="ABDA6A36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>
    <w:nsid w:val="377411F8"/>
    <w:multiLevelType w:val="multilevel"/>
    <w:tmpl w:val="781A0F0A"/>
    <w:lvl w:ilvl="0">
      <w:start w:val="1"/>
      <w:numFmt w:val="upperRoman"/>
      <w:lvlText w:val="%1."/>
      <w:lvlJc w:val="right"/>
      <w:pPr>
        <w:ind w:left="719" w:hanging="567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73" w:hanging="437"/>
      </w:pPr>
      <w:rPr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286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280" w:hanging="360"/>
      </w:pPr>
    </w:lvl>
    <w:lvl w:ilvl="4">
      <w:start w:val="1"/>
      <w:numFmt w:val="bullet"/>
      <w:lvlText w:val="•"/>
      <w:lvlJc w:val="left"/>
      <w:pPr>
        <w:ind w:left="2535" w:hanging="360"/>
      </w:pPr>
    </w:lvl>
    <w:lvl w:ilvl="5">
      <w:start w:val="1"/>
      <w:numFmt w:val="bullet"/>
      <w:lvlText w:val="•"/>
      <w:lvlJc w:val="left"/>
      <w:pPr>
        <w:ind w:left="3790" w:hanging="360"/>
      </w:pPr>
    </w:lvl>
    <w:lvl w:ilvl="6">
      <w:start w:val="1"/>
      <w:numFmt w:val="bullet"/>
      <w:lvlText w:val="•"/>
      <w:lvlJc w:val="left"/>
      <w:pPr>
        <w:ind w:left="5045" w:hanging="360"/>
      </w:pPr>
    </w:lvl>
    <w:lvl w:ilvl="7">
      <w:start w:val="1"/>
      <w:numFmt w:val="bullet"/>
      <w:lvlText w:val="•"/>
      <w:lvlJc w:val="left"/>
      <w:pPr>
        <w:ind w:left="6300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19">
    <w:nsid w:val="3C401720"/>
    <w:multiLevelType w:val="multilevel"/>
    <w:tmpl w:val="14A447E4"/>
    <w:lvl w:ilvl="0">
      <w:start w:val="2"/>
      <w:numFmt w:val="upperRoman"/>
      <w:lvlText w:val="%1."/>
      <w:lvlJc w:val="left"/>
      <w:pPr>
        <w:ind w:left="719" w:hanging="567"/>
      </w:pPr>
      <w:rPr>
        <w:rFonts w:ascii="Tahoma" w:eastAsia="Tahoma" w:hAnsi="Tahoma" w:cs="Tahom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5" w:hanging="569"/>
      </w:pPr>
      <w:rPr>
        <w:rFonts w:ascii="Tahoma" w:eastAsia="Tahoma" w:hAnsi="Tahoma" w:cs="Tahoma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286" w:hanging="425"/>
      </w:pPr>
      <w:rPr>
        <w:rFonts w:asciiTheme="minorHAnsi" w:eastAsia="Tahoma" w:hAnsiTheme="minorHAnsi" w:cstheme="minorHAnsi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13" w:hanging="435"/>
      </w:pPr>
      <w:rPr>
        <w:rFonts w:ascii="Tahoma" w:eastAsia="Tahoma" w:hAnsi="Tahoma" w:cs="Tahoma"/>
        <w:sz w:val="22"/>
        <w:szCs w:val="22"/>
      </w:rPr>
    </w:lvl>
    <w:lvl w:ilvl="4">
      <w:start w:val="1"/>
      <w:numFmt w:val="bullet"/>
      <w:lvlText w:val="•"/>
      <w:lvlJc w:val="left"/>
      <w:pPr>
        <w:ind w:left="2912" w:hanging="435"/>
      </w:pPr>
    </w:lvl>
    <w:lvl w:ilvl="5">
      <w:start w:val="1"/>
      <w:numFmt w:val="bullet"/>
      <w:lvlText w:val="•"/>
      <w:lvlJc w:val="left"/>
      <w:pPr>
        <w:ind w:left="4104" w:hanging="435"/>
      </w:pPr>
    </w:lvl>
    <w:lvl w:ilvl="6">
      <w:start w:val="1"/>
      <w:numFmt w:val="bullet"/>
      <w:lvlText w:val="•"/>
      <w:lvlJc w:val="left"/>
      <w:pPr>
        <w:ind w:left="5297" w:hanging="435"/>
      </w:pPr>
    </w:lvl>
    <w:lvl w:ilvl="7">
      <w:start w:val="1"/>
      <w:numFmt w:val="bullet"/>
      <w:lvlText w:val="•"/>
      <w:lvlJc w:val="left"/>
      <w:pPr>
        <w:ind w:left="6489" w:hanging="435"/>
      </w:pPr>
    </w:lvl>
    <w:lvl w:ilvl="8">
      <w:start w:val="1"/>
      <w:numFmt w:val="bullet"/>
      <w:lvlText w:val="•"/>
      <w:lvlJc w:val="left"/>
      <w:pPr>
        <w:ind w:left="7681" w:hanging="435"/>
      </w:pPr>
    </w:lvl>
  </w:abstractNum>
  <w:abstractNum w:abstractNumId="20">
    <w:nsid w:val="3C887323"/>
    <w:multiLevelType w:val="hybridMultilevel"/>
    <w:tmpl w:val="03E6CD10"/>
    <w:lvl w:ilvl="0" w:tplc="EC3079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24DF"/>
    <w:multiLevelType w:val="multilevel"/>
    <w:tmpl w:val="0CD235C0"/>
    <w:lvl w:ilvl="0">
      <w:start w:val="1"/>
      <w:numFmt w:val="upperRoman"/>
      <w:lvlText w:val="%1."/>
      <w:lvlJc w:val="left"/>
      <w:pPr>
        <w:ind w:left="460" w:hanging="308"/>
      </w:pPr>
      <w:rPr>
        <w:rFonts w:ascii="Tahoma" w:eastAsia="Tahoma" w:hAnsi="Tahoma" w:cs="Tahom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05" w:hanging="569"/>
      </w:pPr>
      <w:rPr>
        <w:rFonts w:ascii="Tahoma" w:eastAsia="Tahoma" w:hAnsi="Tahoma" w:cs="Tahoma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86" w:hanging="425"/>
      </w:pPr>
      <w:rPr>
        <w:rFonts w:ascii="Calibri" w:eastAsia="Calibri" w:hAnsi="Calibri" w:cs="Calibri"/>
        <w:b w:val="0"/>
      </w:rPr>
    </w:lvl>
    <w:lvl w:ilvl="3">
      <w:start w:val="1"/>
      <w:numFmt w:val="bullet"/>
      <w:lvlText w:val="•"/>
      <w:lvlJc w:val="left"/>
      <w:pPr>
        <w:ind w:left="2378" w:hanging="425"/>
      </w:pPr>
    </w:lvl>
    <w:lvl w:ilvl="4">
      <w:start w:val="1"/>
      <w:numFmt w:val="bullet"/>
      <w:lvlText w:val="•"/>
      <w:lvlJc w:val="left"/>
      <w:pPr>
        <w:ind w:left="3476" w:hanging="425"/>
      </w:pPr>
    </w:lvl>
    <w:lvl w:ilvl="5">
      <w:start w:val="1"/>
      <w:numFmt w:val="bullet"/>
      <w:lvlText w:val="•"/>
      <w:lvlJc w:val="left"/>
      <w:pPr>
        <w:ind w:left="4574" w:hanging="425"/>
      </w:pPr>
    </w:lvl>
    <w:lvl w:ilvl="6">
      <w:start w:val="1"/>
      <w:numFmt w:val="bullet"/>
      <w:lvlText w:val="•"/>
      <w:lvlJc w:val="left"/>
      <w:pPr>
        <w:ind w:left="5673" w:hanging="425"/>
      </w:pPr>
    </w:lvl>
    <w:lvl w:ilvl="7">
      <w:start w:val="1"/>
      <w:numFmt w:val="bullet"/>
      <w:lvlText w:val="•"/>
      <w:lvlJc w:val="left"/>
      <w:pPr>
        <w:ind w:left="6771" w:hanging="425"/>
      </w:pPr>
    </w:lvl>
    <w:lvl w:ilvl="8">
      <w:start w:val="1"/>
      <w:numFmt w:val="bullet"/>
      <w:lvlText w:val="•"/>
      <w:lvlJc w:val="left"/>
      <w:pPr>
        <w:ind w:left="7869" w:hanging="425"/>
      </w:pPr>
    </w:lvl>
  </w:abstractNum>
  <w:abstractNum w:abstractNumId="22">
    <w:nsid w:val="436E15C4"/>
    <w:multiLevelType w:val="hybridMultilevel"/>
    <w:tmpl w:val="121618DE"/>
    <w:lvl w:ilvl="0" w:tplc="FE687B7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B64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E11518"/>
    <w:multiLevelType w:val="multilevel"/>
    <w:tmpl w:val="40989B8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6D97861"/>
    <w:multiLevelType w:val="multilevel"/>
    <w:tmpl w:val="781A0F0A"/>
    <w:lvl w:ilvl="0">
      <w:start w:val="1"/>
      <w:numFmt w:val="upperRoman"/>
      <w:lvlText w:val="%1."/>
      <w:lvlJc w:val="right"/>
      <w:pPr>
        <w:ind w:left="719" w:hanging="567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73" w:hanging="437"/>
      </w:pPr>
      <w:rPr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286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280" w:hanging="360"/>
      </w:pPr>
    </w:lvl>
    <w:lvl w:ilvl="4">
      <w:start w:val="1"/>
      <w:numFmt w:val="bullet"/>
      <w:lvlText w:val="•"/>
      <w:lvlJc w:val="left"/>
      <w:pPr>
        <w:ind w:left="2535" w:hanging="360"/>
      </w:pPr>
    </w:lvl>
    <w:lvl w:ilvl="5">
      <w:start w:val="1"/>
      <w:numFmt w:val="bullet"/>
      <w:lvlText w:val="•"/>
      <w:lvlJc w:val="left"/>
      <w:pPr>
        <w:ind w:left="3790" w:hanging="360"/>
      </w:pPr>
    </w:lvl>
    <w:lvl w:ilvl="6">
      <w:start w:val="1"/>
      <w:numFmt w:val="bullet"/>
      <w:lvlText w:val="•"/>
      <w:lvlJc w:val="left"/>
      <w:pPr>
        <w:ind w:left="5045" w:hanging="360"/>
      </w:pPr>
    </w:lvl>
    <w:lvl w:ilvl="7">
      <w:start w:val="1"/>
      <w:numFmt w:val="bullet"/>
      <w:lvlText w:val="•"/>
      <w:lvlJc w:val="left"/>
      <w:pPr>
        <w:ind w:left="6300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26">
    <w:nsid w:val="5DE60B13"/>
    <w:multiLevelType w:val="multilevel"/>
    <w:tmpl w:val="9C644AEA"/>
    <w:lvl w:ilvl="0">
      <w:start w:val="2"/>
      <w:numFmt w:val="decimal"/>
      <w:lvlText w:val="%1."/>
      <w:lvlJc w:val="left"/>
      <w:pPr>
        <w:ind w:left="569" w:hanging="569"/>
      </w:pPr>
      <w:rPr>
        <w:rFonts w:ascii="Tahoma" w:eastAsia="Tahoma" w:hAnsi="Tahoma" w:cs="Tahom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hint="default"/>
      </w:rPr>
    </w:lvl>
  </w:abstractNum>
  <w:abstractNum w:abstractNumId="27">
    <w:nsid w:val="67B30073"/>
    <w:multiLevelType w:val="hybridMultilevel"/>
    <w:tmpl w:val="6BBEEB88"/>
    <w:lvl w:ilvl="0" w:tplc="E394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4A4CC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767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CF0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015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9"/>
  </w:num>
  <w:num w:numId="5">
    <w:abstractNumId w:val="23"/>
  </w:num>
  <w:num w:numId="6">
    <w:abstractNumId w:val="3"/>
  </w:num>
  <w:num w:numId="7">
    <w:abstractNumId w:val="7"/>
  </w:num>
  <w:num w:numId="8">
    <w:abstractNumId w:val="28"/>
  </w:num>
  <w:num w:numId="9">
    <w:abstractNumId w:val="9"/>
  </w:num>
  <w:num w:numId="10">
    <w:abstractNumId w:val="24"/>
  </w:num>
  <w:num w:numId="11">
    <w:abstractNumId w:val="1"/>
  </w:num>
  <w:num w:numId="12">
    <w:abstractNumId w:val="30"/>
  </w:num>
  <w:num w:numId="13">
    <w:abstractNumId w:val="6"/>
  </w:num>
  <w:num w:numId="14">
    <w:abstractNumId w:val="15"/>
  </w:num>
  <w:num w:numId="15">
    <w:abstractNumId w:val="21"/>
  </w:num>
  <w:num w:numId="16">
    <w:abstractNumId w:val="26"/>
  </w:num>
  <w:num w:numId="17">
    <w:abstractNumId w:val="0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16"/>
  </w:num>
  <w:num w:numId="23">
    <w:abstractNumId w:val="4"/>
  </w:num>
  <w:num w:numId="24">
    <w:abstractNumId w:val="25"/>
  </w:num>
  <w:num w:numId="25">
    <w:abstractNumId w:val="17"/>
  </w:num>
  <w:num w:numId="26">
    <w:abstractNumId w:val="27"/>
  </w:num>
  <w:num w:numId="27">
    <w:abstractNumId w:val="20"/>
  </w:num>
  <w:num w:numId="28">
    <w:abstractNumId w:val="8"/>
  </w:num>
  <w:num w:numId="29">
    <w:abstractNumId w:val="10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7"/>
    <w:rsid w:val="00150FEF"/>
    <w:rsid w:val="001725E7"/>
    <w:rsid w:val="001C0244"/>
    <w:rsid w:val="002218D7"/>
    <w:rsid w:val="002A60E3"/>
    <w:rsid w:val="002E03BE"/>
    <w:rsid w:val="00307CBC"/>
    <w:rsid w:val="00364BE7"/>
    <w:rsid w:val="003D416C"/>
    <w:rsid w:val="003D74CB"/>
    <w:rsid w:val="00474477"/>
    <w:rsid w:val="005A591B"/>
    <w:rsid w:val="006377FF"/>
    <w:rsid w:val="006B6E4F"/>
    <w:rsid w:val="00716054"/>
    <w:rsid w:val="007418F4"/>
    <w:rsid w:val="00755B0E"/>
    <w:rsid w:val="00762220"/>
    <w:rsid w:val="007C5D80"/>
    <w:rsid w:val="008C5696"/>
    <w:rsid w:val="008E1FFC"/>
    <w:rsid w:val="009D2E15"/>
    <w:rsid w:val="009F0BA8"/>
    <w:rsid w:val="00A37CE7"/>
    <w:rsid w:val="00A90F42"/>
    <w:rsid w:val="00AE09CD"/>
    <w:rsid w:val="00AE7431"/>
    <w:rsid w:val="00B068CE"/>
    <w:rsid w:val="00B71A09"/>
    <w:rsid w:val="00D30635"/>
    <w:rsid w:val="00DE7D47"/>
    <w:rsid w:val="00E176A9"/>
    <w:rsid w:val="00FA42B4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4477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477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477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4477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4477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477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477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477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477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4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4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74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74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4477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477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477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4477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4477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477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477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477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477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4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4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74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74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2021-10-14T10:05:00Z</cp:lastPrinted>
  <dcterms:created xsi:type="dcterms:W3CDTF">2021-10-13T16:10:00Z</dcterms:created>
  <dcterms:modified xsi:type="dcterms:W3CDTF">2021-10-20T10:11:00Z</dcterms:modified>
</cp:coreProperties>
</file>